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681" w:rsidRDefault="00091B02" w:rsidP="00091B02">
      <w:pPr>
        <w:jc w:val="center"/>
        <w:rPr>
          <w:rFonts w:ascii="黑体" w:eastAsia="黑体" w:hAnsi="黑体"/>
          <w:sz w:val="36"/>
          <w:szCs w:val="36"/>
        </w:rPr>
      </w:pPr>
      <w:r w:rsidRPr="00091B02">
        <w:rPr>
          <w:rFonts w:ascii="黑体" w:eastAsia="黑体" w:hAnsi="黑体" w:hint="eastAsia"/>
          <w:sz w:val="36"/>
          <w:szCs w:val="36"/>
        </w:rPr>
        <w:t>扬州大学医学院人才</w:t>
      </w:r>
      <w:r w:rsidR="00C52681" w:rsidRPr="00091B02">
        <w:rPr>
          <w:rFonts w:ascii="黑体" w:eastAsia="黑体" w:hAnsi="黑体" w:hint="eastAsia"/>
          <w:sz w:val="36"/>
          <w:szCs w:val="36"/>
        </w:rPr>
        <w:t>培养方案修订</w:t>
      </w:r>
      <w:r w:rsidR="00A0059E" w:rsidRPr="00091B02">
        <w:rPr>
          <w:rFonts w:ascii="黑体" w:eastAsia="黑体" w:hAnsi="黑体" w:hint="eastAsia"/>
          <w:sz w:val="36"/>
          <w:szCs w:val="36"/>
        </w:rPr>
        <w:t>信息</w:t>
      </w:r>
      <w:r w:rsidR="00C52681" w:rsidRPr="00091B02">
        <w:rPr>
          <w:rFonts w:ascii="黑体" w:eastAsia="黑体" w:hAnsi="黑体" w:hint="eastAsia"/>
          <w:sz w:val="36"/>
          <w:szCs w:val="36"/>
        </w:rPr>
        <w:t>沟通</w:t>
      </w:r>
      <w:r w:rsidRPr="00091B02">
        <w:rPr>
          <w:rFonts w:ascii="黑体" w:eastAsia="黑体" w:hAnsi="黑体" w:hint="eastAsia"/>
          <w:sz w:val="36"/>
          <w:szCs w:val="36"/>
        </w:rPr>
        <w:t>表</w:t>
      </w:r>
    </w:p>
    <w:p w:rsidR="00091B02" w:rsidRPr="00091B02" w:rsidRDefault="006214D4" w:rsidP="00091B02">
      <w:pPr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专业</w:t>
      </w:r>
      <w:r w:rsidR="00091B02">
        <w:rPr>
          <w:rFonts w:ascii="黑体" w:eastAsia="黑体" w:hAnsi="黑体" w:hint="eastAsia"/>
          <w:sz w:val="36"/>
          <w:szCs w:val="36"/>
        </w:rPr>
        <w:t>（</w:t>
      </w:r>
      <w:r w:rsidR="009445B0">
        <w:rPr>
          <w:rFonts w:ascii="黑体" w:eastAsia="黑体" w:hAnsi="黑体" w:hint="eastAsia"/>
          <w:sz w:val="36"/>
          <w:szCs w:val="36"/>
        </w:rPr>
        <w:t>2017版第一轮</w:t>
      </w:r>
      <w:r w:rsidR="00091B02">
        <w:rPr>
          <w:rFonts w:ascii="黑体" w:eastAsia="黑体" w:hAnsi="黑体" w:hint="eastAsia"/>
          <w:sz w:val="36"/>
          <w:szCs w:val="36"/>
        </w:rPr>
        <w:t>）</w:t>
      </w:r>
    </w:p>
    <w:p w:rsidR="00C52681" w:rsidRDefault="00C52681"/>
    <w:tbl>
      <w:tblPr>
        <w:tblStyle w:val="a3"/>
        <w:tblW w:w="8472" w:type="dxa"/>
        <w:tblLook w:val="04A0" w:firstRow="1" w:lastRow="0" w:firstColumn="1" w:lastColumn="0" w:noHBand="0" w:noVBand="1"/>
      </w:tblPr>
      <w:tblGrid>
        <w:gridCol w:w="1101"/>
        <w:gridCol w:w="7371"/>
      </w:tblGrid>
      <w:tr w:rsidR="006214D4" w:rsidRPr="006214D4" w:rsidTr="006214D4">
        <w:trPr>
          <w:trHeight w:val="551"/>
        </w:trPr>
        <w:tc>
          <w:tcPr>
            <w:tcW w:w="1101" w:type="dxa"/>
            <w:vAlign w:val="center"/>
          </w:tcPr>
          <w:p w:rsidR="006214D4" w:rsidRPr="006214D4" w:rsidRDefault="006214D4" w:rsidP="006214D4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信息项目</w:t>
            </w:r>
          </w:p>
        </w:tc>
        <w:tc>
          <w:tcPr>
            <w:tcW w:w="7371" w:type="dxa"/>
            <w:vAlign w:val="center"/>
          </w:tcPr>
          <w:p w:rsidR="006214D4" w:rsidRPr="006214D4" w:rsidRDefault="006214D4" w:rsidP="006214D4">
            <w:pPr>
              <w:jc w:val="center"/>
              <w:rPr>
                <w:b/>
              </w:rPr>
            </w:pPr>
            <w:r w:rsidRPr="006214D4">
              <w:rPr>
                <w:rFonts w:hint="eastAsia"/>
                <w:b/>
              </w:rPr>
              <w:t>信息内容</w:t>
            </w:r>
          </w:p>
        </w:tc>
      </w:tr>
      <w:tr w:rsidR="006214D4" w:rsidTr="006214D4">
        <w:trPr>
          <w:trHeight w:val="856"/>
        </w:trPr>
        <w:tc>
          <w:tcPr>
            <w:tcW w:w="1101" w:type="dxa"/>
            <w:vAlign w:val="center"/>
          </w:tcPr>
          <w:p w:rsidR="006214D4" w:rsidRDefault="006214D4" w:rsidP="006214D4">
            <w:r>
              <w:rPr>
                <w:rFonts w:hint="eastAsia"/>
              </w:rPr>
              <w:t>培养方案修订原因</w:t>
            </w:r>
          </w:p>
        </w:tc>
        <w:tc>
          <w:tcPr>
            <w:tcW w:w="7371" w:type="dxa"/>
            <w:vAlign w:val="center"/>
          </w:tcPr>
          <w:p w:rsidR="006214D4" w:rsidRDefault="00363F9C" w:rsidP="00363F9C">
            <w:r>
              <w:rPr>
                <w:rFonts w:hint="eastAsia"/>
              </w:rPr>
              <w:t>按照专业认证标准和要求</w:t>
            </w:r>
            <w:r w:rsidR="006214D4">
              <w:rPr>
                <w:rFonts w:hint="eastAsia"/>
              </w:rPr>
              <w:t>，</w:t>
            </w:r>
            <w:r>
              <w:rPr>
                <w:rFonts w:hint="eastAsia"/>
              </w:rPr>
              <w:t>科学合理地设置课程计划。</w:t>
            </w:r>
          </w:p>
        </w:tc>
      </w:tr>
      <w:tr w:rsidR="006214D4" w:rsidTr="006214D4">
        <w:trPr>
          <w:trHeight w:val="1818"/>
        </w:trPr>
        <w:tc>
          <w:tcPr>
            <w:tcW w:w="1101" w:type="dxa"/>
            <w:vAlign w:val="center"/>
          </w:tcPr>
          <w:p w:rsidR="006214D4" w:rsidRDefault="006214D4" w:rsidP="006214D4">
            <w:r>
              <w:rPr>
                <w:rFonts w:hint="eastAsia"/>
              </w:rPr>
              <w:t>培养方案修订原则</w:t>
            </w:r>
          </w:p>
        </w:tc>
        <w:tc>
          <w:tcPr>
            <w:tcW w:w="7371" w:type="dxa"/>
            <w:vAlign w:val="center"/>
          </w:tcPr>
          <w:p w:rsidR="006214D4" w:rsidRDefault="006214D4" w:rsidP="006214D4"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</w:t>
            </w:r>
            <w:r w:rsidR="00363F9C">
              <w:rPr>
                <w:rFonts w:hint="eastAsia"/>
              </w:rPr>
              <w:t>明确专业培养目标，并从知识、能力和素质三个层面明确各课程在专业培养中的角色和作用；</w:t>
            </w:r>
          </w:p>
          <w:p w:rsidR="00363F9C" w:rsidRDefault="006214D4" w:rsidP="006214D4"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</w:t>
            </w:r>
            <w:r w:rsidR="00363F9C">
              <w:rPr>
                <w:rFonts w:hint="eastAsia"/>
              </w:rPr>
              <w:t>优化创新创业、通识课程和第二课堂的设置；</w:t>
            </w:r>
          </w:p>
          <w:p w:rsidR="006214D4" w:rsidRDefault="00363F9C" w:rsidP="006214D4"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、</w:t>
            </w:r>
            <w:r w:rsidR="006214D4">
              <w:rPr>
                <w:rFonts w:hint="eastAsia"/>
              </w:rPr>
              <w:t>课序课时更加科学</w:t>
            </w:r>
            <w:r>
              <w:rPr>
                <w:rFonts w:hint="eastAsia"/>
              </w:rPr>
              <w:t>；</w:t>
            </w:r>
          </w:p>
          <w:p w:rsidR="006214D4" w:rsidRPr="00D14CC3" w:rsidRDefault="00363F9C" w:rsidP="00363F9C">
            <w:r>
              <w:rPr>
                <w:rFonts w:hint="eastAsia"/>
              </w:rPr>
              <w:t>4</w:t>
            </w:r>
            <w:r w:rsidR="006214D4">
              <w:rPr>
                <w:rFonts w:hint="eastAsia"/>
              </w:rPr>
              <w:t>、</w:t>
            </w:r>
            <w:r>
              <w:rPr>
                <w:rFonts w:hint="eastAsia"/>
              </w:rPr>
              <w:t>实践教学与理论教学更加紧密结合。</w:t>
            </w:r>
          </w:p>
        </w:tc>
      </w:tr>
      <w:tr w:rsidR="006214D4" w:rsidTr="006214D4">
        <w:tc>
          <w:tcPr>
            <w:tcW w:w="1101" w:type="dxa"/>
            <w:vAlign w:val="center"/>
          </w:tcPr>
          <w:p w:rsidR="006214D4" w:rsidRDefault="006214D4" w:rsidP="006214D4">
            <w:r>
              <w:rPr>
                <w:rFonts w:hint="eastAsia"/>
              </w:rPr>
              <w:t>培养方案修订技术标准</w:t>
            </w:r>
          </w:p>
        </w:tc>
        <w:tc>
          <w:tcPr>
            <w:tcW w:w="7371" w:type="dxa"/>
            <w:vAlign w:val="center"/>
          </w:tcPr>
          <w:p w:rsidR="006214D4" w:rsidRDefault="006214D4" w:rsidP="006214D4">
            <w:r>
              <w:rPr>
                <w:rFonts w:hint="eastAsia"/>
              </w:rPr>
              <w:t>按照扬州大学</w:t>
            </w:r>
            <w:r w:rsidR="00363F9C" w:rsidRPr="00363F9C">
              <w:rPr>
                <w:rFonts w:hint="eastAsia"/>
              </w:rPr>
              <w:t>2017</w:t>
            </w:r>
            <w:proofErr w:type="gramStart"/>
            <w:r w:rsidR="00363F9C">
              <w:rPr>
                <w:rFonts w:hint="eastAsia"/>
              </w:rPr>
              <w:t>版</w:t>
            </w:r>
            <w:r w:rsidR="00363F9C" w:rsidRPr="00363F9C">
              <w:rPr>
                <w:rFonts w:hint="eastAsia"/>
              </w:rPr>
              <w:t>培养</w:t>
            </w:r>
            <w:proofErr w:type="gramEnd"/>
            <w:r w:rsidR="00363F9C" w:rsidRPr="00363F9C">
              <w:rPr>
                <w:rFonts w:hint="eastAsia"/>
              </w:rPr>
              <w:t>方案修订通知及附件</w:t>
            </w:r>
          </w:p>
          <w:p w:rsidR="00A57A73" w:rsidRDefault="00A57A73" w:rsidP="006214D4">
            <w:r>
              <w:rPr>
                <w:rFonts w:hint="eastAsia"/>
              </w:rPr>
              <w:t>各专业认证标准</w:t>
            </w:r>
          </w:p>
        </w:tc>
      </w:tr>
      <w:tr w:rsidR="006214D4" w:rsidTr="006214D4">
        <w:trPr>
          <w:trHeight w:val="894"/>
        </w:trPr>
        <w:tc>
          <w:tcPr>
            <w:tcW w:w="1101" w:type="dxa"/>
            <w:vAlign w:val="center"/>
          </w:tcPr>
          <w:p w:rsidR="006214D4" w:rsidRDefault="006214D4" w:rsidP="006214D4">
            <w:r>
              <w:rPr>
                <w:rFonts w:hint="eastAsia"/>
              </w:rPr>
              <w:t>课程类别</w:t>
            </w:r>
          </w:p>
        </w:tc>
        <w:tc>
          <w:tcPr>
            <w:tcW w:w="7371" w:type="dxa"/>
            <w:vAlign w:val="center"/>
          </w:tcPr>
          <w:p w:rsidR="006214D4" w:rsidRDefault="006214D4" w:rsidP="00A57A73">
            <w:r>
              <w:rPr>
                <w:rFonts w:hint="eastAsia"/>
              </w:rPr>
              <w:t>课程分为</w:t>
            </w:r>
            <w:r w:rsidR="00A57A73">
              <w:rPr>
                <w:rFonts w:hint="eastAsia"/>
              </w:rPr>
              <w:t>通修课、通识公共选修课、大类平台课（学科基础课）、专业必修课、专业选修课、集中性实践教学、第二课堂</w:t>
            </w:r>
            <w:r>
              <w:rPr>
                <w:rFonts w:hint="eastAsia"/>
              </w:rPr>
              <w:t>、专业辅修课</w:t>
            </w:r>
          </w:p>
        </w:tc>
      </w:tr>
      <w:tr w:rsidR="006214D4" w:rsidTr="006214D4">
        <w:trPr>
          <w:trHeight w:val="912"/>
        </w:trPr>
        <w:tc>
          <w:tcPr>
            <w:tcW w:w="1101" w:type="dxa"/>
            <w:vAlign w:val="center"/>
          </w:tcPr>
          <w:p w:rsidR="006214D4" w:rsidRPr="00D14CC3" w:rsidRDefault="006214D4" w:rsidP="006214D4">
            <w:r>
              <w:rPr>
                <w:rFonts w:hint="eastAsia"/>
              </w:rPr>
              <w:t>课程设置</w:t>
            </w:r>
          </w:p>
        </w:tc>
        <w:tc>
          <w:tcPr>
            <w:tcW w:w="7371" w:type="dxa"/>
            <w:vAlign w:val="center"/>
          </w:tcPr>
          <w:p w:rsidR="006214D4" w:rsidRDefault="006214D4" w:rsidP="006214D4">
            <w:r>
              <w:rPr>
                <w:rFonts w:hint="eastAsia"/>
              </w:rPr>
              <w:t>见附件：专业培养方案</w:t>
            </w:r>
          </w:p>
        </w:tc>
      </w:tr>
      <w:tr w:rsidR="006214D4" w:rsidTr="006214D4">
        <w:trPr>
          <w:trHeight w:val="912"/>
        </w:trPr>
        <w:tc>
          <w:tcPr>
            <w:tcW w:w="1101" w:type="dxa"/>
            <w:vAlign w:val="center"/>
          </w:tcPr>
          <w:p w:rsidR="006214D4" w:rsidRDefault="006214D4" w:rsidP="006214D4">
            <w:r>
              <w:rPr>
                <w:rFonts w:hint="eastAsia"/>
              </w:rPr>
              <w:t>本次修订已开展的工作</w:t>
            </w:r>
          </w:p>
        </w:tc>
        <w:tc>
          <w:tcPr>
            <w:tcW w:w="7371" w:type="dxa"/>
            <w:vAlign w:val="center"/>
          </w:tcPr>
          <w:p w:rsidR="006214D4" w:rsidRDefault="006214D4" w:rsidP="006214D4"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、院党政联席会议讨论修订原则（</w:t>
            </w:r>
            <w:r>
              <w:rPr>
                <w:rFonts w:hint="eastAsia"/>
              </w:rPr>
              <w:t>201</w:t>
            </w:r>
            <w:r w:rsidR="00363F9C">
              <w:rPr>
                <w:rFonts w:hint="eastAsia"/>
              </w:rPr>
              <w:t>7.4.28</w:t>
            </w:r>
            <w:r>
              <w:rPr>
                <w:rFonts w:hint="eastAsia"/>
              </w:rPr>
              <w:t>）</w:t>
            </w:r>
          </w:p>
          <w:p w:rsidR="006214D4" w:rsidRDefault="006214D4" w:rsidP="006214D4"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、教学院长与各专业教学主任初步讨论</w:t>
            </w:r>
            <w:r w:rsidR="001250FA">
              <w:rPr>
                <w:rFonts w:hint="eastAsia"/>
              </w:rPr>
              <w:t>修订工作</w:t>
            </w:r>
            <w:r w:rsidR="00363F9C">
              <w:rPr>
                <w:rFonts w:hint="eastAsia"/>
              </w:rPr>
              <w:t>（</w:t>
            </w:r>
            <w:r w:rsidR="00363F9C">
              <w:rPr>
                <w:rFonts w:hint="eastAsia"/>
              </w:rPr>
              <w:t>2017.4.17</w:t>
            </w:r>
            <w:r w:rsidR="00363F9C">
              <w:rPr>
                <w:rFonts w:hint="eastAsia"/>
              </w:rPr>
              <w:t>）</w:t>
            </w:r>
          </w:p>
          <w:p w:rsidR="001250FA" w:rsidRDefault="001250FA" w:rsidP="001250FA"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、教学院长与各专业教学主任讨论关于修订工作的意见和建议并</w:t>
            </w:r>
            <w:r w:rsidR="00CD5CB8">
              <w:rPr>
                <w:rFonts w:hint="eastAsia"/>
              </w:rPr>
              <w:t>明确修订时间表</w:t>
            </w:r>
            <w:r w:rsidR="00363F9C">
              <w:rPr>
                <w:rFonts w:hint="eastAsia"/>
              </w:rPr>
              <w:t>（</w:t>
            </w:r>
            <w:r w:rsidR="00363F9C">
              <w:rPr>
                <w:rFonts w:hint="eastAsia"/>
              </w:rPr>
              <w:t>2017.4.24</w:t>
            </w:r>
            <w:r w:rsidR="00363F9C">
              <w:rPr>
                <w:rFonts w:hint="eastAsia"/>
              </w:rPr>
              <w:t>）</w:t>
            </w:r>
          </w:p>
          <w:p w:rsidR="001250FA" w:rsidRPr="001250FA" w:rsidRDefault="001250FA" w:rsidP="001250FA"/>
        </w:tc>
      </w:tr>
      <w:tr w:rsidR="001250FA" w:rsidTr="006214D4">
        <w:trPr>
          <w:trHeight w:val="912"/>
        </w:trPr>
        <w:tc>
          <w:tcPr>
            <w:tcW w:w="1101" w:type="dxa"/>
            <w:vAlign w:val="center"/>
          </w:tcPr>
          <w:p w:rsidR="001250FA" w:rsidRDefault="001250FA" w:rsidP="006214D4">
            <w:r>
              <w:rPr>
                <w:rFonts w:hint="eastAsia"/>
              </w:rPr>
              <w:t>修订前后培养方案变化比较</w:t>
            </w:r>
          </w:p>
        </w:tc>
        <w:tc>
          <w:tcPr>
            <w:tcW w:w="7371" w:type="dxa"/>
            <w:vAlign w:val="center"/>
          </w:tcPr>
          <w:p w:rsidR="001250FA" w:rsidRDefault="00A57A73" w:rsidP="00A57A73">
            <w:pPr>
              <w:pStyle w:val="a4"/>
              <w:numPr>
                <w:ilvl w:val="0"/>
                <w:numId w:val="1"/>
              </w:numPr>
              <w:ind w:firstLineChars="0"/>
            </w:pPr>
            <w:r>
              <w:rPr>
                <w:rFonts w:hint="eastAsia"/>
              </w:rPr>
              <w:t>要明确专业培养特色；</w:t>
            </w:r>
          </w:p>
          <w:p w:rsidR="00A57A73" w:rsidRDefault="00A57A73" w:rsidP="00A57A73">
            <w:pPr>
              <w:pStyle w:val="a4"/>
              <w:numPr>
                <w:ilvl w:val="0"/>
                <w:numId w:val="1"/>
              </w:numPr>
              <w:ind w:firstLineChars="0"/>
            </w:pPr>
            <w:r>
              <w:rPr>
                <w:rFonts w:hint="eastAsia"/>
              </w:rPr>
              <w:t>课程类别有所增加；</w:t>
            </w:r>
          </w:p>
          <w:p w:rsidR="00A57A73" w:rsidRDefault="00A57A73" w:rsidP="00A57A73">
            <w:pPr>
              <w:pStyle w:val="a4"/>
              <w:numPr>
                <w:ilvl w:val="0"/>
                <w:numId w:val="1"/>
              </w:numPr>
              <w:ind w:firstLineChars="0"/>
            </w:pPr>
            <w:r>
              <w:rPr>
                <w:rFonts w:hint="eastAsia"/>
              </w:rPr>
              <w:t>理论课时分为课内课外分别计算；</w:t>
            </w:r>
          </w:p>
          <w:p w:rsidR="00A57A73" w:rsidRDefault="00A57A73" w:rsidP="00A57A73">
            <w:pPr>
              <w:pStyle w:val="a4"/>
              <w:numPr>
                <w:ilvl w:val="0"/>
                <w:numId w:val="1"/>
              </w:numPr>
              <w:ind w:firstLineChars="0"/>
            </w:pPr>
            <w:r>
              <w:rPr>
                <w:rFonts w:hint="eastAsia"/>
              </w:rPr>
              <w:t>将第二课堂正式纳入培养方案；</w:t>
            </w:r>
          </w:p>
          <w:p w:rsidR="00A57A73" w:rsidRPr="001250FA" w:rsidRDefault="00A57A73" w:rsidP="00A57A73">
            <w:pPr>
              <w:pStyle w:val="a4"/>
              <w:numPr>
                <w:ilvl w:val="0"/>
                <w:numId w:val="1"/>
              </w:numPr>
              <w:ind w:firstLineChars="0"/>
            </w:pPr>
            <w:r>
              <w:rPr>
                <w:rFonts w:hint="eastAsia"/>
              </w:rPr>
              <w:t>建立</w:t>
            </w:r>
            <w:r w:rsidRPr="00A57A73">
              <w:rPr>
                <w:rFonts w:hint="eastAsia"/>
              </w:rPr>
              <w:t>专业培养标准实现矩阵</w:t>
            </w:r>
            <w:r>
              <w:rPr>
                <w:rFonts w:hint="eastAsia"/>
              </w:rPr>
              <w:t>，明确课程在实现专业培养目标中的作用和地位。</w:t>
            </w:r>
          </w:p>
        </w:tc>
      </w:tr>
      <w:tr w:rsidR="006214D4" w:rsidTr="006214D4">
        <w:trPr>
          <w:trHeight w:val="912"/>
        </w:trPr>
        <w:tc>
          <w:tcPr>
            <w:tcW w:w="1101" w:type="dxa"/>
            <w:vAlign w:val="center"/>
          </w:tcPr>
          <w:p w:rsidR="006214D4" w:rsidRPr="006214D4" w:rsidRDefault="006214D4" w:rsidP="006214D4">
            <w:r>
              <w:rPr>
                <w:rFonts w:hint="eastAsia"/>
              </w:rPr>
              <w:t>递送人</w:t>
            </w:r>
          </w:p>
        </w:tc>
        <w:tc>
          <w:tcPr>
            <w:tcW w:w="7371" w:type="dxa"/>
            <w:vAlign w:val="center"/>
          </w:tcPr>
          <w:p w:rsidR="006214D4" w:rsidRDefault="006214D4" w:rsidP="006214D4"/>
        </w:tc>
      </w:tr>
      <w:tr w:rsidR="006214D4" w:rsidTr="006214D4">
        <w:trPr>
          <w:trHeight w:val="912"/>
        </w:trPr>
        <w:tc>
          <w:tcPr>
            <w:tcW w:w="1101" w:type="dxa"/>
            <w:vAlign w:val="center"/>
          </w:tcPr>
          <w:p w:rsidR="006214D4" w:rsidRDefault="006214D4" w:rsidP="006214D4">
            <w:r>
              <w:rPr>
                <w:rFonts w:hint="eastAsia"/>
              </w:rPr>
              <w:t>接收人</w:t>
            </w:r>
          </w:p>
        </w:tc>
        <w:tc>
          <w:tcPr>
            <w:tcW w:w="7371" w:type="dxa"/>
            <w:vAlign w:val="center"/>
          </w:tcPr>
          <w:p w:rsidR="006214D4" w:rsidRDefault="006214D4" w:rsidP="006214D4"/>
        </w:tc>
      </w:tr>
      <w:tr w:rsidR="009F1AA2" w:rsidTr="006214D4">
        <w:trPr>
          <w:trHeight w:val="912"/>
        </w:trPr>
        <w:tc>
          <w:tcPr>
            <w:tcW w:w="1101" w:type="dxa"/>
            <w:vAlign w:val="center"/>
          </w:tcPr>
          <w:p w:rsidR="009F1AA2" w:rsidRDefault="007A1D4B" w:rsidP="006214D4">
            <w:r>
              <w:rPr>
                <w:rFonts w:hint="eastAsia"/>
              </w:rPr>
              <w:t>第</w:t>
            </w:r>
            <w:r w:rsidR="009F1AA2">
              <w:rPr>
                <w:rFonts w:hint="eastAsia"/>
              </w:rPr>
              <w:t>一轮</w:t>
            </w:r>
          </w:p>
          <w:p w:rsidR="009F1AA2" w:rsidRDefault="009F1AA2" w:rsidP="006214D4">
            <w:r>
              <w:rPr>
                <w:rFonts w:hint="eastAsia"/>
              </w:rPr>
              <w:t>意见</w:t>
            </w:r>
          </w:p>
        </w:tc>
        <w:tc>
          <w:tcPr>
            <w:tcW w:w="7371" w:type="dxa"/>
            <w:vAlign w:val="center"/>
          </w:tcPr>
          <w:p w:rsidR="009F1AA2" w:rsidRDefault="009F1AA2" w:rsidP="00E35241"/>
        </w:tc>
      </w:tr>
      <w:tr w:rsidR="009F1AA2" w:rsidTr="006214D4">
        <w:trPr>
          <w:trHeight w:val="912"/>
        </w:trPr>
        <w:tc>
          <w:tcPr>
            <w:tcW w:w="1101" w:type="dxa"/>
            <w:vAlign w:val="center"/>
          </w:tcPr>
          <w:p w:rsidR="009F1AA2" w:rsidRDefault="007A1D4B" w:rsidP="006214D4">
            <w:r>
              <w:rPr>
                <w:rFonts w:hint="eastAsia"/>
              </w:rPr>
              <w:lastRenderedPageBreak/>
              <w:t>第</w:t>
            </w:r>
            <w:r w:rsidR="009F1AA2">
              <w:rPr>
                <w:rFonts w:hint="eastAsia"/>
              </w:rPr>
              <w:t>一轮意见采纳情况</w:t>
            </w:r>
          </w:p>
        </w:tc>
        <w:tc>
          <w:tcPr>
            <w:tcW w:w="7371" w:type="dxa"/>
            <w:vAlign w:val="center"/>
          </w:tcPr>
          <w:p w:rsidR="009F1AA2" w:rsidRDefault="009F1AA2" w:rsidP="00AD3172"/>
        </w:tc>
      </w:tr>
      <w:tr w:rsidR="006214D4" w:rsidTr="009F1AA2">
        <w:trPr>
          <w:trHeight w:val="10664"/>
        </w:trPr>
        <w:tc>
          <w:tcPr>
            <w:tcW w:w="1101" w:type="dxa"/>
            <w:vAlign w:val="center"/>
          </w:tcPr>
          <w:p w:rsidR="006214D4" w:rsidRDefault="006214D4" w:rsidP="006214D4">
            <w:r>
              <w:rPr>
                <w:rFonts w:hint="eastAsia"/>
              </w:rPr>
              <w:t>反馈意见</w:t>
            </w:r>
          </w:p>
        </w:tc>
        <w:tc>
          <w:tcPr>
            <w:tcW w:w="7371" w:type="dxa"/>
            <w:vAlign w:val="center"/>
          </w:tcPr>
          <w:p w:rsidR="006214D4" w:rsidRDefault="006214D4" w:rsidP="006214D4"/>
        </w:tc>
      </w:tr>
      <w:tr w:rsidR="006214D4" w:rsidTr="006214D4">
        <w:trPr>
          <w:trHeight w:val="912"/>
        </w:trPr>
        <w:tc>
          <w:tcPr>
            <w:tcW w:w="1101" w:type="dxa"/>
            <w:vAlign w:val="center"/>
          </w:tcPr>
          <w:p w:rsidR="006214D4" w:rsidRDefault="006214D4" w:rsidP="006214D4">
            <w:r>
              <w:rPr>
                <w:rFonts w:hint="eastAsia"/>
              </w:rPr>
              <w:t>签名</w:t>
            </w:r>
          </w:p>
        </w:tc>
        <w:tc>
          <w:tcPr>
            <w:tcW w:w="7371" w:type="dxa"/>
            <w:vAlign w:val="center"/>
          </w:tcPr>
          <w:p w:rsidR="006214D4" w:rsidRDefault="006214D4" w:rsidP="006214D4"/>
        </w:tc>
      </w:tr>
      <w:tr w:rsidR="001250FA" w:rsidTr="006214D4">
        <w:trPr>
          <w:trHeight w:val="912"/>
        </w:trPr>
        <w:tc>
          <w:tcPr>
            <w:tcW w:w="1101" w:type="dxa"/>
            <w:vAlign w:val="center"/>
          </w:tcPr>
          <w:p w:rsidR="001250FA" w:rsidRDefault="001250FA" w:rsidP="006214D4">
            <w:r>
              <w:rPr>
                <w:rFonts w:hint="eastAsia"/>
              </w:rPr>
              <w:t>沟通时间</w:t>
            </w:r>
          </w:p>
        </w:tc>
        <w:tc>
          <w:tcPr>
            <w:tcW w:w="7371" w:type="dxa"/>
            <w:vAlign w:val="center"/>
          </w:tcPr>
          <w:p w:rsidR="001250FA" w:rsidRDefault="001250FA" w:rsidP="00CD5CB8">
            <w:r>
              <w:rPr>
                <w:rFonts w:hint="eastAsia"/>
              </w:rPr>
              <w:t>201</w:t>
            </w:r>
            <w:r w:rsidR="00CD5CB8">
              <w:rPr>
                <w:rFonts w:hint="eastAsia"/>
              </w:rPr>
              <w:t>7</w:t>
            </w:r>
            <w:r>
              <w:rPr>
                <w:rFonts w:hint="eastAsia"/>
              </w:rPr>
              <w:t>年</w:t>
            </w:r>
            <w:r w:rsidR="003867A8"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月</w:t>
            </w:r>
            <w:r w:rsidR="003867A8">
              <w:rPr>
                <w:rFonts w:hint="eastAsia"/>
              </w:rPr>
              <w:t xml:space="preserve">  </w:t>
            </w:r>
            <w:bookmarkStart w:id="0" w:name="_GoBack"/>
            <w:bookmarkEnd w:id="0"/>
            <w:r>
              <w:rPr>
                <w:rFonts w:hint="eastAsia"/>
              </w:rPr>
              <w:t>日</w:t>
            </w:r>
          </w:p>
        </w:tc>
      </w:tr>
    </w:tbl>
    <w:p w:rsidR="00A932C2" w:rsidRDefault="00A932C2"/>
    <w:sectPr w:rsidR="00A932C2" w:rsidSect="00126BB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0E14" w:rsidRDefault="003D0E14" w:rsidP="00AD3172">
      <w:r>
        <w:separator/>
      </w:r>
    </w:p>
  </w:endnote>
  <w:endnote w:type="continuationSeparator" w:id="0">
    <w:p w:rsidR="003D0E14" w:rsidRDefault="003D0E14" w:rsidP="00AD31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0E14" w:rsidRDefault="003D0E14" w:rsidP="00AD3172">
      <w:r>
        <w:separator/>
      </w:r>
    </w:p>
  </w:footnote>
  <w:footnote w:type="continuationSeparator" w:id="0">
    <w:p w:rsidR="003D0E14" w:rsidRDefault="003D0E14" w:rsidP="00AD31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826BBD"/>
    <w:multiLevelType w:val="hybridMultilevel"/>
    <w:tmpl w:val="019AA8B0"/>
    <w:lvl w:ilvl="0" w:tplc="6D30283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82993"/>
    <w:rsid w:val="00050185"/>
    <w:rsid w:val="0005308E"/>
    <w:rsid w:val="000622D4"/>
    <w:rsid w:val="000669FA"/>
    <w:rsid w:val="00091B02"/>
    <w:rsid w:val="000A7288"/>
    <w:rsid w:val="000D7C19"/>
    <w:rsid w:val="000E496E"/>
    <w:rsid w:val="001250FA"/>
    <w:rsid w:val="00126BB2"/>
    <w:rsid w:val="00185D62"/>
    <w:rsid w:val="0018626D"/>
    <w:rsid w:val="001A0AA2"/>
    <w:rsid w:val="00221753"/>
    <w:rsid w:val="002469C8"/>
    <w:rsid w:val="00275328"/>
    <w:rsid w:val="00282993"/>
    <w:rsid w:val="002C2641"/>
    <w:rsid w:val="002C339F"/>
    <w:rsid w:val="0032125B"/>
    <w:rsid w:val="00341A93"/>
    <w:rsid w:val="00363F9C"/>
    <w:rsid w:val="003853E5"/>
    <w:rsid w:val="003867A8"/>
    <w:rsid w:val="003D0E14"/>
    <w:rsid w:val="003D228C"/>
    <w:rsid w:val="003F4A65"/>
    <w:rsid w:val="0045111C"/>
    <w:rsid w:val="00472A88"/>
    <w:rsid w:val="0047609A"/>
    <w:rsid w:val="004A436E"/>
    <w:rsid w:val="00504334"/>
    <w:rsid w:val="00526B10"/>
    <w:rsid w:val="00537155"/>
    <w:rsid w:val="00597DFC"/>
    <w:rsid w:val="005A1CDF"/>
    <w:rsid w:val="006214D4"/>
    <w:rsid w:val="00645901"/>
    <w:rsid w:val="00675545"/>
    <w:rsid w:val="00675ED1"/>
    <w:rsid w:val="006819A9"/>
    <w:rsid w:val="00690AEE"/>
    <w:rsid w:val="006B5A24"/>
    <w:rsid w:val="006C60AD"/>
    <w:rsid w:val="006D7885"/>
    <w:rsid w:val="006E19C0"/>
    <w:rsid w:val="007719DE"/>
    <w:rsid w:val="00781231"/>
    <w:rsid w:val="007839C1"/>
    <w:rsid w:val="00794A95"/>
    <w:rsid w:val="007A1D4B"/>
    <w:rsid w:val="007D5DCF"/>
    <w:rsid w:val="00802620"/>
    <w:rsid w:val="00867613"/>
    <w:rsid w:val="008738C7"/>
    <w:rsid w:val="008A32F3"/>
    <w:rsid w:val="008A6302"/>
    <w:rsid w:val="008C37C2"/>
    <w:rsid w:val="008D335B"/>
    <w:rsid w:val="008E33B8"/>
    <w:rsid w:val="008E5C1C"/>
    <w:rsid w:val="00903C7F"/>
    <w:rsid w:val="009217D3"/>
    <w:rsid w:val="00923814"/>
    <w:rsid w:val="00934648"/>
    <w:rsid w:val="009445B0"/>
    <w:rsid w:val="009508AB"/>
    <w:rsid w:val="009978E0"/>
    <w:rsid w:val="009A2699"/>
    <w:rsid w:val="009B0E7D"/>
    <w:rsid w:val="009C6A9C"/>
    <w:rsid w:val="009E49E6"/>
    <w:rsid w:val="009E4E5A"/>
    <w:rsid w:val="009F1AA2"/>
    <w:rsid w:val="00A0059E"/>
    <w:rsid w:val="00A1352E"/>
    <w:rsid w:val="00A57A73"/>
    <w:rsid w:val="00A73B43"/>
    <w:rsid w:val="00A8541F"/>
    <w:rsid w:val="00A932C2"/>
    <w:rsid w:val="00AA5149"/>
    <w:rsid w:val="00AD3172"/>
    <w:rsid w:val="00AF0C80"/>
    <w:rsid w:val="00B35FDE"/>
    <w:rsid w:val="00B6472C"/>
    <w:rsid w:val="00BF1DFA"/>
    <w:rsid w:val="00C2373C"/>
    <w:rsid w:val="00C2480E"/>
    <w:rsid w:val="00C52681"/>
    <w:rsid w:val="00CD5CB8"/>
    <w:rsid w:val="00D14CC3"/>
    <w:rsid w:val="00D20E50"/>
    <w:rsid w:val="00D4362C"/>
    <w:rsid w:val="00D778F1"/>
    <w:rsid w:val="00DA1F68"/>
    <w:rsid w:val="00DC48F5"/>
    <w:rsid w:val="00DD376A"/>
    <w:rsid w:val="00DE36B1"/>
    <w:rsid w:val="00DE6270"/>
    <w:rsid w:val="00DF1AC7"/>
    <w:rsid w:val="00E35241"/>
    <w:rsid w:val="00E63B1A"/>
    <w:rsid w:val="00E702F6"/>
    <w:rsid w:val="00E70B65"/>
    <w:rsid w:val="00E90C54"/>
    <w:rsid w:val="00F94FE2"/>
    <w:rsid w:val="00FE76F7"/>
    <w:rsid w:val="00FF62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6BB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932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14CC3"/>
    <w:pPr>
      <w:ind w:firstLineChars="200" w:firstLine="420"/>
    </w:pPr>
  </w:style>
  <w:style w:type="paragraph" w:styleId="a5">
    <w:name w:val="header"/>
    <w:basedOn w:val="a"/>
    <w:link w:val="Char"/>
    <w:uiPriority w:val="99"/>
    <w:unhideWhenUsed/>
    <w:rsid w:val="00AD317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AD3172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AD317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AD317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932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14CC3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89</Words>
  <Characters>513</Characters>
  <Application>Microsoft Office Word</Application>
  <DocSecurity>0</DocSecurity>
  <Lines>4</Lines>
  <Paragraphs>1</Paragraphs>
  <ScaleCrop>false</ScaleCrop>
  <Company/>
  <LinksUpToDate>false</LinksUpToDate>
  <CharactersWithSpaces>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未定义</dc:creator>
  <cp:lastModifiedBy>未定义</cp:lastModifiedBy>
  <cp:revision>6</cp:revision>
  <dcterms:created xsi:type="dcterms:W3CDTF">2017-05-02T01:12:00Z</dcterms:created>
  <dcterms:modified xsi:type="dcterms:W3CDTF">2017-06-28T00:48:00Z</dcterms:modified>
</cp:coreProperties>
</file>